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EB" w:rsidRDefault="00F96AEB">
      <w:pPr>
        <w:spacing w:line="1" w:lineRule="exact"/>
      </w:pPr>
    </w:p>
    <w:p w:rsidR="00F96AEB" w:rsidRDefault="00F96AEB">
      <w:pPr>
        <w:framePr w:w="23" w:h="272" w:hRule="exact" w:wrap="around" w:vAnchor="page" w:hAnchor="page" w:x="206" w:y="178"/>
        <w:rPr>
          <w:sz w:val="2"/>
          <w:szCs w:val="2"/>
        </w:rPr>
      </w:pPr>
    </w:p>
    <w:p w:rsidR="00F96AEB" w:rsidRDefault="00F96AEB">
      <w:pPr>
        <w:pStyle w:val="Bodytext20"/>
        <w:framePr w:w="10526" w:h="14040" w:hRule="exact" w:wrap="around" w:vAnchor="page" w:hAnchor="page" w:x="1036" w:y="1402"/>
        <w:ind w:left="1709" w:right="14"/>
        <w:rPr>
          <w:sz w:val="24"/>
          <w:szCs w:val="24"/>
        </w:rPr>
      </w:pPr>
    </w:p>
    <w:p w:rsidR="00F96AEB" w:rsidRDefault="00BA1730">
      <w:pPr>
        <w:pStyle w:val="Bodytext0"/>
        <w:framePr w:w="10526" w:h="14040" w:hRule="exact" w:wrap="around" w:vAnchor="page" w:hAnchor="page" w:x="1036" w:y="1402"/>
        <w:ind w:left="1666" w:right="14"/>
      </w:pPr>
      <w:r>
        <w:rPr>
          <w:b/>
          <w:bCs/>
        </w:rPr>
        <w:t>Конспект за зачисляване за специалност по Образна диагностика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0" w:name="bookmark01"/>
      <w:bookmarkEnd w:id="0"/>
      <w:r>
        <w:t>Получаване на рентгенови лъчи. Устройство на рентгенова тръба.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1" w:name="bookmark19"/>
      <w:bookmarkEnd w:id="1"/>
      <w:r>
        <w:t xml:space="preserve">Апаратура за образна диагностика: общи принципи на устройство на </w:t>
      </w:r>
      <w:proofErr w:type="spellStart"/>
      <w:r>
        <w:t>рентгенографични</w:t>
      </w:r>
      <w:proofErr w:type="spellEnd"/>
      <w:r>
        <w:t xml:space="preserve"> и</w:t>
      </w:r>
      <w:r>
        <w:br/>
      </w:r>
      <w:proofErr w:type="spellStart"/>
      <w:r>
        <w:t>рентгенос</w:t>
      </w:r>
      <w:proofErr w:type="spellEnd"/>
      <w:r>
        <w:t xml:space="preserve"> </w:t>
      </w:r>
      <w:proofErr w:type="spellStart"/>
      <w:r>
        <w:t>копични</w:t>
      </w:r>
      <w:proofErr w:type="spellEnd"/>
      <w:r>
        <w:t xml:space="preserve"> уредби.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2" w:name="bookmark21"/>
      <w:bookmarkEnd w:id="2"/>
      <w:r>
        <w:t xml:space="preserve">Детектори на </w:t>
      </w:r>
      <w:r>
        <w:t xml:space="preserve">рентгенови образи: касети, </w:t>
      </w:r>
      <w:proofErr w:type="spellStart"/>
      <w:r>
        <w:t>фолии</w:t>
      </w:r>
      <w:proofErr w:type="spellEnd"/>
      <w:r>
        <w:t>, рентгенови филми. Дигитални системи (CR,</w:t>
      </w:r>
      <w:r>
        <w:br/>
        <w:t>DR).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3" w:name="bookmark31"/>
      <w:bookmarkEnd w:id="3"/>
      <w:r>
        <w:t>Системи за съхранение, пренос и архивиране на образни изследвания.РАСБ.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4" w:name="bookmark41"/>
      <w:bookmarkEnd w:id="4"/>
      <w:r>
        <w:t>Рентгенови образи - получаване и особености на рентгеново изображение.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5" w:name="bookmark51"/>
      <w:bookmarkEnd w:id="5"/>
      <w:r>
        <w:t>Компютърна томография; устройство</w:t>
      </w:r>
      <w:r>
        <w:t xml:space="preserve"> на апаратурата. Основни характеристики на</w:t>
      </w:r>
      <w:r>
        <w:br/>
        <w:t>компютърно демографските изображения.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6" w:name="bookmark61"/>
      <w:bookmarkEnd w:id="6"/>
      <w:r>
        <w:t xml:space="preserve">Ехография, принципно устройство на </w:t>
      </w:r>
      <w:proofErr w:type="spellStart"/>
      <w:r>
        <w:t>ехографски</w:t>
      </w:r>
      <w:proofErr w:type="spellEnd"/>
      <w:r>
        <w:t xml:space="preserve"> апарат, </w:t>
      </w:r>
      <w:proofErr w:type="spellStart"/>
      <w:r>
        <w:t>ехографски</w:t>
      </w:r>
      <w:proofErr w:type="spellEnd"/>
      <w:r>
        <w:t xml:space="preserve"> образ.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7" w:name="bookmark71"/>
      <w:bookmarkEnd w:id="7"/>
      <w:r>
        <w:t>Магнитно-резонансна образна диагностика. Принципно устройство на апаратурата и</w:t>
      </w:r>
      <w:r>
        <w:br/>
        <w:t xml:space="preserve">особености на </w:t>
      </w:r>
      <w:proofErr w:type="spellStart"/>
      <w:r>
        <w:t>магнитноре</w:t>
      </w:r>
      <w:r>
        <w:t>зонанените</w:t>
      </w:r>
      <w:proofErr w:type="spellEnd"/>
      <w:r>
        <w:t xml:space="preserve"> образи.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8" w:name="bookmark81"/>
      <w:bookmarkEnd w:id="8"/>
      <w:r>
        <w:t>Контрастни материи в образната диагностика.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9" w:name="bookmark91"/>
      <w:bookmarkEnd w:id="9"/>
      <w:r>
        <w:t>Лъчезащита на болните и персонала при осъществяване на образни изследвания.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10" w:name="bookmark101"/>
      <w:bookmarkEnd w:id="10"/>
      <w:r>
        <w:t>Образни методи за изследване на дихателната система: рентгенография, КТ, ЯМР.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11" w:name="bookmark111"/>
      <w:bookmarkEnd w:id="11"/>
      <w:r>
        <w:t>Нормална образна анатомия на гръдния ко</w:t>
      </w:r>
      <w:r>
        <w:t>ш и белите дробове.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  <w:spacing w:line="280" w:lineRule="auto"/>
      </w:pPr>
      <w:bookmarkStart w:id="12" w:name="bookmark121"/>
      <w:bookmarkEnd w:id="12"/>
      <w:r>
        <w:t xml:space="preserve">Заболявания на бронхите. </w:t>
      </w:r>
      <w:proofErr w:type="spellStart"/>
      <w:r>
        <w:t>Бронхиектазии</w:t>
      </w:r>
      <w:proofErr w:type="spellEnd"/>
      <w:r>
        <w:t>. Рентгенова симптоматика на нарушената</w:t>
      </w:r>
      <w:r>
        <w:br/>
        <w:t>бронхиална проходимост. Чужди тела в бронхите.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  <w:spacing w:line="280" w:lineRule="auto"/>
      </w:pPr>
      <w:bookmarkStart w:id="13" w:name="bookmark131"/>
      <w:bookmarkEnd w:id="13"/>
      <w:r>
        <w:t xml:space="preserve">Неспецифични възпалителни заболявания на белите дробове. Пневмонии. Белодробен </w:t>
      </w:r>
      <w:proofErr w:type="spellStart"/>
      <w:r>
        <w:t>абцес</w:t>
      </w:r>
      <w:proofErr w:type="spellEnd"/>
      <w:r>
        <w:t xml:space="preserve"> и</w:t>
      </w:r>
      <w:r>
        <w:br/>
        <w:t>гангрена.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14" w:name="bookmark141"/>
      <w:bookmarkEnd w:id="14"/>
      <w:r>
        <w:t xml:space="preserve">Пневмонии при </w:t>
      </w:r>
      <w:r>
        <w:t>нарушена циркулация в малкия кръг на кръвообращението.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15" w:name="bookmark151"/>
      <w:bookmarkEnd w:id="15"/>
      <w:r>
        <w:t>Белодробна емболия и белодробен инфаркт.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16" w:name="bookmark161"/>
      <w:bookmarkEnd w:id="16"/>
      <w:r>
        <w:t xml:space="preserve">Професионални заболявания на белите дробове - силикоза, </w:t>
      </w:r>
      <w:proofErr w:type="spellStart"/>
      <w:r>
        <w:t>азбестоза</w:t>
      </w:r>
      <w:proofErr w:type="spellEnd"/>
      <w:r>
        <w:t xml:space="preserve">. </w:t>
      </w:r>
      <w:proofErr w:type="spellStart"/>
      <w:r>
        <w:t>Силикотуберкулоза</w:t>
      </w:r>
      <w:proofErr w:type="spellEnd"/>
      <w:r>
        <w:t>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</w:pPr>
      <w:bookmarkStart w:id="17" w:name="bookmark171"/>
      <w:bookmarkEnd w:id="17"/>
      <w:r>
        <w:t>Туберкулоза на белите дробове. Рентгенова характеристика на различните фор</w:t>
      </w:r>
      <w:r>
        <w:t>ми.</w:t>
      </w:r>
    </w:p>
    <w:p w:rsidR="00F96AEB" w:rsidRDefault="00BA1730">
      <w:pPr>
        <w:pStyle w:val="Bodytext0"/>
        <w:framePr w:w="10526" w:h="14040" w:hRule="exact" w:wrap="around" w:vAnchor="page" w:hAnchor="page" w:x="1036" w:y="1402"/>
        <w:numPr>
          <w:ilvl w:val="0"/>
          <w:numId w:val="1"/>
        </w:numPr>
        <w:tabs>
          <w:tab w:val="left" w:pos="690"/>
        </w:tabs>
        <w:spacing w:after="0" w:line="280" w:lineRule="auto"/>
      </w:pPr>
      <w:bookmarkStart w:id="18" w:name="bookmark181"/>
      <w:bookmarkEnd w:id="18"/>
      <w:r>
        <w:t>Доброкачествени и злокачествени тумори на белите дробове. Белодробен рак. Възможности</w:t>
      </w:r>
      <w:r>
        <w:br/>
        <w:t xml:space="preserve">на визуализиращите методи за диагностика и </w:t>
      </w:r>
      <w:proofErr w:type="spellStart"/>
      <w:r>
        <w:t>стадиране</w:t>
      </w:r>
      <w:proofErr w:type="spellEnd"/>
    </w:p>
    <w:p w:rsidR="00F96AEB" w:rsidRDefault="00F96AEB">
      <w:pPr>
        <w:spacing w:line="1" w:lineRule="exact"/>
        <w:sectPr w:rsidR="00F96AEB">
          <w:pgSz w:w="11906" w:h="16838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:rsidR="00F96AEB" w:rsidRDefault="00F96AEB">
      <w:pPr>
        <w:spacing w:line="1" w:lineRule="exact"/>
      </w:pP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19" w:name="bookmark1911"/>
      <w:bookmarkEnd w:id="19"/>
      <w:r>
        <w:t xml:space="preserve">Заболявалия на плеврата. Плеврити. </w:t>
      </w:r>
      <w:proofErr w:type="spellStart"/>
      <w:r>
        <w:t>Пневмоторакс</w:t>
      </w:r>
      <w:proofErr w:type="spellEnd"/>
      <w:r>
        <w:t>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20" w:name="bookmark201"/>
      <w:bookmarkEnd w:id="20"/>
      <w:r>
        <w:t xml:space="preserve">Заболявания на </w:t>
      </w:r>
      <w:proofErr w:type="spellStart"/>
      <w:r>
        <w:t>медиастинума</w:t>
      </w:r>
      <w:proofErr w:type="spellEnd"/>
      <w:r>
        <w:t xml:space="preserve"> - възпалителн</w:t>
      </w:r>
      <w:r>
        <w:t>и и туморни.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21" w:name="bookmark2111"/>
      <w:bookmarkEnd w:id="21"/>
      <w:r>
        <w:t>Образни методи за изследване на сърдечно-съдовата система - диагностични възможности.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80" w:lineRule="auto"/>
      </w:pPr>
      <w:bookmarkStart w:id="22" w:name="bookmark221"/>
      <w:bookmarkEnd w:id="22"/>
      <w:r>
        <w:t>Основни образни синдроми и симптоми при заболяванията на сърцето. Рентгенов образ на нормално сърце.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23" w:name="bookmark231"/>
      <w:bookmarkEnd w:id="23"/>
      <w:r>
        <w:t xml:space="preserve">Рентгенов образ при придобити </w:t>
      </w:r>
      <w:proofErr w:type="spellStart"/>
      <w:r>
        <w:t>клапни</w:t>
      </w:r>
      <w:proofErr w:type="spellEnd"/>
      <w:r>
        <w:t xml:space="preserve"> пороци. Възможност </w:t>
      </w:r>
      <w:r>
        <w:t>за визуализиращите методи.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/>
      </w:pPr>
      <w:bookmarkStart w:id="24" w:name="bookmark241"/>
      <w:bookmarkEnd w:id="24"/>
      <w:r>
        <w:t>Вродени пороци на сърцето и големите кръвоносни съдове. Възможност на визуализиращите методи.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25" w:name="bookmark251"/>
      <w:bookmarkEnd w:id="25"/>
      <w:r>
        <w:t xml:space="preserve">Заболявания на миокарда и </w:t>
      </w:r>
      <w:proofErr w:type="spellStart"/>
      <w:r>
        <w:t>перикарда</w:t>
      </w:r>
      <w:proofErr w:type="spellEnd"/>
      <w:r>
        <w:t>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26" w:name="bookmark261"/>
      <w:bookmarkEnd w:id="26"/>
      <w:r>
        <w:t>Заболявания на големите кръвоносни съдове.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27" w:name="bookmark271"/>
      <w:bookmarkEnd w:id="27"/>
      <w:r>
        <w:t xml:space="preserve">Образни методи за изследване на храносмилателната </w:t>
      </w:r>
      <w:r>
        <w:t>система.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28" w:name="bookmark281"/>
      <w:bookmarkEnd w:id="28"/>
      <w:r>
        <w:t>Рентгенови образи при заболяванията на хранопровода (</w:t>
      </w:r>
      <w:proofErr w:type="spellStart"/>
      <w:r>
        <w:t>дивертикули</w:t>
      </w:r>
      <w:proofErr w:type="spellEnd"/>
      <w:r>
        <w:t xml:space="preserve">, </w:t>
      </w:r>
      <w:proofErr w:type="spellStart"/>
      <w:r>
        <w:t>кардиоспазъм</w:t>
      </w:r>
      <w:proofErr w:type="spellEnd"/>
      <w:r>
        <w:t xml:space="preserve">, </w:t>
      </w:r>
      <w:proofErr w:type="spellStart"/>
      <w:r>
        <w:t>стриктура</w:t>
      </w:r>
      <w:proofErr w:type="spellEnd"/>
      <w:r>
        <w:t xml:space="preserve">, </w:t>
      </w:r>
      <w:proofErr w:type="spellStart"/>
      <w:r>
        <w:t>варици</w:t>
      </w:r>
      <w:proofErr w:type="spellEnd"/>
      <w:r>
        <w:t xml:space="preserve"> на хранопровода, доброкачествени и злокачествени тумори на хранопровода).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/>
      </w:pPr>
      <w:bookmarkStart w:id="29" w:name="bookmark291"/>
      <w:bookmarkEnd w:id="29"/>
      <w:r>
        <w:t>Рентгенови методи за изследване на стомаха. Рентгенов образ на нормален сто</w:t>
      </w:r>
      <w:r>
        <w:t xml:space="preserve">мах. Стомашна и </w:t>
      </w:r>
      <w:proofErr w:type="spellStart"/>
      <w:r>
        <w:t>дуоденална</w:t>
      </w:r>
      <w:proofErr w:type="spellEnd"/>
      <w:r>
        <w:t xml:space="preserve"> язва. Вродени заболявания на стомаха и хранопровода.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64" w:lineRule="auto"/>
      </w:pPr>
      <w:bookmarkStart w:id="30" w:name="bookmark301"/>
      <w:bookmarkEnd w:id="30"/>
      <w:r>
        <w:t xml:space="preserve">Доброкачествени и злокачествени тумори на стомаха. Място на </w:t>
      </w:r>
      <w:proofErr w:type="spellStart"/>
      <w:r>
        <w:t>образнодиагностичните</w:t>
      </w:r>
      <w:proofErr w:type="spellEnd"/>
      <w:r>
        <w:t xml:space="preserve"> методи за диагностика и </w:t>
      </w:r>
      <w:proofErr w:type="spellStart"/>
      <w:r>
        <w:t>стадиране</w:t>
      </w:r>
      <w:proofErr w:type="spellEnd"/>
      <w:r>
        <w:t>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/>
      </w:pPr>
      <w:bookmarkStart w:id="31" w:name="bookmark3111"/>
      <w:bookmarkEnd w:id="31"/>
      <w:r>
        <w:t>Рентгенови методи за образно изследване на тънките и дебели</w:t>
      </w:r>
      <w:r>
        <w:t xml:space="preserve">те черва (пасаж, </w:t>
      </w:r>
      <w:proofErr w:type="spellStart"/>
      <w:r>
        <w:t>иригоскопия</w:t>
      </w:r>
      <w:proofErr w:type="spellEnd"/>
      <w:r>
        <w:t>, двойно-контрастно изследване).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32" w:name="bookmark321"/>
      <w:bookmarkEnd w:id="32"/>
      <w:r>
        <w:t xml:space="preserve">Образна диагностика на заболяванията на тънките черва (ентерити, терминален </w:t>
      </w:r>
      <w:proofErr w:type="spellStart"/>
      <w:r>
        <w:t>илеит</w:t>
      </w:r>
      <w:proofErr w:type="spellEnd"/>
      <w:r>
        <w:t>, туберкулоза на червата, аномалии).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64" w:lineRule="auto"/>
      </w:pPr>
      <w:bookmarkStart w:id="33" w:name="bookmark331"/>
      <w:bookmarkEnd w:id="33"/>
      <w:r>
        <w:t xml:space="preserve">Образна диагностика при заболявания на дебелите черва: колити, болест на </w:t>
      </w:r>
      <w:proofErr w:type="spellStart"/>
      <w:r>
        <w:t>Хирш</w:t>
      </w:r>
      <w:r>
        <w:t>прунг</w:t>
      </w:r>
      <w:proofErr w:type="spellEnd"/>
      <w:r>
        <w:t xml:space="preserve">, </w:t>
      </w:r>
      <w:proofErr w:type="spellStart"/>
      <w:r>
        <w:t>дивертикули</w:t>
      </w:r>
      <w:proofErr w:type="spellEnd"/>
      <w:r>
        <w:t>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34" w:name="bookmark341"/>
      <w:bookmarkEnd w:id="34"/>
      <w:r>
        <w:t xml:space="preserve">Доброкачествени и злокачествени </w:t>
      </w:r>
      <w:proofErr w:type="spellStart"/>
      <w:r>
        <w:t>туморина</w:t>
      </w:r>
      <w:proofErr w:type="spellEnd"/>
      <w:r>
        <w:t xml:space="preserve"> дебелото черво. Виртуална </w:t>
      </w:r>
      <w:proofErr w:type="spellStart"/>
      <w:r>
        <w:t>колоноскопия</w:t>
      </w:r>
      <w:proofErr w:type="spellEnd"/>
      <w:r>
        <w:t>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64" w:lineRule="auto"/>
      </w:pPr>
      <w:bookmarkStart w:id="35" w:name="bookmark351"/>
      <w:bookmarkEnd w:id="35"/>
      <w:r>
        <w:t>Образна диагностика при „остър хирургичен корем". Роля на конвенционалната рентгенография, ехографията и компютърната томография.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64" w:lineRule="auto"/>
      </w:pPr>
      <w:bookmarkStart w:id="36" w:name="bookmark361"/>
      <w:bookmarkEnd w:id="36"/>
      <w:r>
        <w:t>Образни методи за изследв</w:t>
      </w:r>
      <w:r>
        <w:t xml:space="preserve">ане на черния дроб, жлъчната система, </w:t>
      </w:r>
      <w:proofErr w:type="spellStart"/>
      <w:r>
        <w:t>задстомашиата</w:t>
      </w:r>
      <w:proofErr w:type="spellEnd"/>
      <w:r>
        <w:t xml:space="preserve"> жлеза и </w:t>
      </w:r>
      <w:proofErr w:type="spellStart"/>
      <w:r>
        <w:t>слезката</w:t>
      </w:r>
      <w:proofErr w:type="spellEnd"/>
      <w:r>
        <w:t>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200" w:line="271" w:lineRule="auto"/>
      </w:pPr>
      <w:bookmarkStart w:id="37" w:name="bookmark371"/>
      <w:bookmarkEnd w:id="37"/>
      <w:r>
        <w:t xml:space="preserve">Образна диагностика на дифузни и </w:t>
      </w:r>
      <w:proofErr w:type="spellStart"/>
      <w:r>
        <w:t>огнищии</w:t>
      </w:r>
      <w:proofErr w:type="spellEnd"/>
      <w:r>
        <w:t xml:space="preserve"> увреждания на черния дроб.</w:t>
      </w:r>
    </w:p>
    <w:p w:rsidR="00F96AEB" w:rsidRDefault="00BA1730">
      <w:pPr>
        <w:pStyle w:val="Bodytext0"/>
        <w:framePr w:w="10526" w:h="13829" w:hRule="exact" w:wrap="around" w:vAnchor="page" w:hAnchor="page" w:x="1036" w:y="1613"/>
        <w:numPr>
          <w:ilvl w:val="0"/>
          <w:numId w:val="1"/>
        </w:numPr>
        <w:tabs>
          <w:tab w:val="left" w:pos="705"/>
        </w:tabs>
        <w:spacing w:after="0" w:line="268" w:lineRule="auto"/>
      </w:pPr>
      <w:bookmarkStart w:id="38" w:name="bookmark381"/>
      <w:bookmarkEnd w:id="38"/>
      <w:r>
        <w:t xml:space="preserve">Образна диагностика на заболяванията на жлъчната система (жлъчно-каменна болест, </w:t>
      </w:r>
      <w:proofErr w:type="spellStart"/>
      <w:r>
        <w:t>холецистити</w:t>
      </w:r>
      <w:proofErr w:type="spellEnd"/>
      <w:r>
        <w:t xml:space="preserve">, </w:t>
      </w:r>
      <w:proofErr w:type="spellStart"/>
      <w:r>
        <w:t>дискинезия</w:t>
      </w:r>
      <w:proofErr w:type="spellEnd"/>
      <w:r>
        <w:t xml:space="preserve"> на жлъчния ме</w:t>
      </w:r>
      <w:r>
        <w:t xml:space="preserve">хур, </w:t>
      </w:r>
      <w:proofErr w:type="spellStart"/>
      <w:r>
        <w:t>стенозиращ</w:t>
      </w:r>
      <w:proofErr w:type="spellEnd"/>
      <w:r>
        <w:t xml:space="preserve"> </w:t>
      </w:r>
      <w:proofErr w:type="spellStart"/>
      <w:r>
        <w:t>папилит</w:t>
      </w:r>
      <w:proofErr w:type="spellEnd"/>
      <w:r>
        <w:t>). Възможности на ехографията, компютърната томография и магнитно-резонансната томография.</w:t>
      </w:r>
    </w:p>
    <w:p w:rsidR="00F96AEB" w:rsidRDefault="00F96AEB">
      <w:pPr>
        <w:spacing w:line="1" w:lineRule="exact"/>
        <w:sectPr w:rsidR="00F96AEB">
          <w:pgSz w:w="11906" w:h="16838"/>
          <w:pgMar w:top="360" w:right="360" w:bottom="360" w:left="360" w:header="0" w:footer="0" w:gutter="0"/>
          <w:cols w:space="708"/>
          <w:formProt w:val="0"/>
          <w:docGrid w:linePitch="360"/>
        </w:sectPr>
      </w:pPr>
    </w:p>
    <w:p w:rsidR="00F96AEB" w:rsidRDefault="00F96AEB">
      <w:pPr>
        <w:spacing w:line="1" w:lineRule="exact"/>
      </w:pP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39" w:name="bookmark391"/>
      <w:bookmarkEnd w:id="39"/>
      <w:r>
        <w:t>Образна диагностика на възпалителните и туморни заболявания на панкреаса.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0" w:name="bookmark401"/>
      <w:bookmarkEnd w:id="40"/>
      <w:r>
        <w:t>Методи за образно изследване на отделителната</w:t>
      </w:r>
      <w:r>
        <w:t xml:space="preserve"> система.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1" w:name="bookmark4111"/>
      <w:bookmarkEnd w:id="41"/>
      <w:r>
        <w:t>Основни симптоми и синдроми при заболяванията на отделителната система.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2" w:name="bookmark421"/>
      <w:bookmarkEnd w:id="42"/>
      <w:r>
        <w:t>Вродени аномалии на отделителната система.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3" w:name="bookmark431"/>
      <w:bookmarkEnd w:id="43"/>
      <w:r>
        <w:t>Бъбречнокаменна болест.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  <w:spacing w:line="292" w:lineRule="auto"/>
      </w:pPr>
      <w:bookmarkStart w:id="44" w:name="bookmark441"/>
      <w:bookmarkEnd w:id="44"/>
      <w:r>
        <w:t xml:space="preserve">Възпалителни заболявания на отделителната система: </w:t>
      </w:r>
      <w:proofErr w:type="spellStart"/>
      <w:r>
        <w:t>пиелонефрит</w:t>
      </w:r>
      <w:proofErr w:type="spellEnd"/>
      <w:r>
        <w:t>, туберкулоза на бъбреците.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5" w:name="bookmark451"/>
      <w:bookmarkEnd w:id="45"/>
      <w:r>
        <w:t>Тумори на отделит</w:t>
      </w:r>
      <w:r>
        <w:t>елната система. Възможности на визуализиращите методи.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6" w:name="bookmark461"/>
      <w:bookmarkEnd w:id="46"/>
      <w:r>
        <w:t>Методи за образно изследване на централната нервна система.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7" w:name="bookmark471"/>
      <w:bookmarkEnd w:id="47"/>
      <w:r>
        <w:t xml:space="preserve">Образна </w:t>
      </w:r>
      <w:proofErr w:type="spellStart"/>
      <w:r>
        <w:t>дигностика</w:t>
      </w:r>
      <w:proofErr w:type="spellEnd"/>
      <w:r>
        <w:t xml:space="preserve"> при туморите на централната нервна система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8" w:name="bookmark481"/>
      <w:bookmarkEnd w:id="48"/>
      <w:r>
        <w:t xml:space="preserve">Образна </w:t>
      </w:r>
      <w:proofErr w:type="spellStart"/>
      <w:r>
        <w:t>дигностика</w:t>
      </w:r>
      <w:proofErr w:type="spellEnd"/>
      <w:r>
        <w:t xml:space="preserve"> при съдовите заболявания на централната нервна система.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49" w:name="bookmark491"/>
      <w:bookmarkEnd w:id="49"/>
      <w:r>
        <w:t>Мето</w:t>
      </w:r>
      <w:r>
        <w:t xml:space="preserve">ди за образна диагностика на </w:t>
      </w:r>
      <w:proofErr w:type="spellStart"/>
      <w:r>
        <w:t>мускулоскелетната</w:t>
      </w:r>
      <w:proofErr w:type="spellEnd"/>
      <w:r>
        <w:t xml:space="preserve"> система.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50" w:name="bookmark501"/>
      <w:bookmarkEnd w:id="50"/>
      <w:r>
        <w:t xml:space="preserve">Възпалителни заболявания на костите - </w:t>
      </w:r>
      <w:proofErr w:type="spellStart"/>
      <w:r>
        <w:t>остеомиелит</w:t>
      </w:r>
      <w:proofErr w:type="spellEnd"/>
      <w:r>
        <w:t>, туберкулоза на костно-ставната система, сифилис на костите.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1"/>
        </w:numPr>
        <w:tabs>
          <w:tab w:val="left" w:pos="704"/>
        </w:tabs>
      </w:pPr>
      <w:bookmarkStart w:id="51" w:name="bookmark5111"/>
      <w:bookmarkEnd w:id="51"/>
      <w:r>
        <w:t>Образна диагноза на доброкачествените и злокачествените тумори на костите.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tabs>
          <w:tab w:val="left" w:pos="704"/>
        </w:tabs>
      </w:pPr>
      <w:bookmarkStart w:id="52" w:name="bookmark521"/>
      <w:r>
        <w:t>5</w:t>
      </w:r>
      <w:bookmarkEnd w:id="52"/>
      <w:r>
        <w:t xml:space="preserve"> 3.</w:t>
      </w:r>
      <w:r>
        <w:tab/>
        <w:t>Асептични</w:t>
      </w:r>
      <w:r>
        <w:t xml:space="preserve"> </w:t>
      </w:r>
      <w:proofErr w:type="spellStart"/>
      <w:r>
        <w:t>остеонекрози</w:t>
      </w:r>
      <w:proofErr w:type="spellEnd"/>
      <w:r>
        <w:t>.</w:t>
      </w:r>
    </w:p>
    <w:p w:rsidR="00F96AEB" w:rsidRDefault="00BA1730">
      <w:pPr>
        <w:pStyle w:val="Bodytext0"/>
        <w:framePr w:w="10526" w:h="8520" w:hRule="exact" w:wrap="around" w:vAnchor="page" w:hAnchor="page" w:x="1036" w:y="1402"/>
        <w:numPr>
          <w:ilvl w:val="0"/>
          <w:numId w:val="2"/>
        </w:numPr>
        <w:tabs>
          <w:tab w:val="left" w:pos="704"/>
        </w:tabs>
        <w:spacing w:after="0"/>
      </w:pPr>
      <w:bookmarkStart w:id="53" w:name="bookmark531"/>
      <w:bookmarkEnd w:id="53"/>
      <w:r>
        <w:t xml:space="preserve">Възпалителни и </w:t>
      </w:r>
      <w:proofErr w:type="spellStart"/>
      <w:r>
        <w:t>дегенеративно-дистрофични</w:t>
      </w:r>
      <w:proofErr w:type="spellEnd"/>
      <w:r>
        <w:t xml:space="preserve"> заболявания на скелета (артрити, </w:t>
      </w:r>
      <w:proofErr w:type="spellStart"/>
      <w:r>
        <w:t>артрози</w:t>
      </w:r>
      <w:proofErr w:type="spellEnd"/>
      <w:r>
        <w:t>, дегенеративни заболявания на гръбнака).</w:t>
      </w:r>
    </w:p>
    <w:p w:rsidR="00F96AEB" w:rsidRDefault="00BA1730">
      <w:pPr>
        <w:pStyle w:val="Bodytext0"/>
        <w:framePr w:w="5680" w:h="276" w:hRule="exact" w:wrap="around" w:vAnchor="page" w:hAnchor="page" w:x="1036" w:y="10104"/>
        <w:numPr>
          <w:ilvl w:val="0"/>
          <w:numId w:val="2"/>
        </w:numPr>
        <w:tabs>
          <w:tab w:val="left" w:pos="704"/>
        </w:tabs>
        <w:spacing w:after="0" w:line="240" w:lineRule="auto"/>
      </w:pPr>
      <w:bookmarkStart w:id="54" w:name="bookmark541"/>
      <w:bookmarkEnd w:id="54"/>
      <w:r>
        <w:t>Промени в скелета при ендокринни заболявания</w:t>
      </w:r>
    </w:p>
    <w:p w:rsidR="00F96AEB" w:rsidRDefault="00F96AEB">
      <w:pPr>
        <w:spacing w:line="1" w:lineRule="exact"/>
      </w:pPr>
    </w:p>
    <w:sectPr w:rsidR="00F96AEB" w:rsidSect="00F96AEB">
      <w:pgSz w:w="11906" w:h="16838"/>
      <w:pgMar w:top="360" w:right="360" w:bottom="360" w:left="36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1FBB"/>
    <w:multiLevelType w:val="multilevel"/>
    <w:tmpl w:val="EF40202C"/>
    <w:lvl w:ilvl="0">
      <w:start w:val="5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402FDC"/>
    <w:multiLevelType w:val="multilevel"/>
    <w:tmpl w:val="C32A94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D43CFD"/>
    <w:multiLevelType w:val="multilevel"/>
    <w:tmpl w:val="E2405E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autoHyphenation/>
  <w:hyphenationZone w:val="425"/>
  <w:characterSpacingControl w:val="doNotCompress"/>
  <w:compat>
    <w:doNotExpandShiftReturn/>
  </w:compat>
  <w:rsids>
    <w:rsidRoot w:val="00F96AEB"/>
    <w:rsid w:val="00BA1730"/>
    <w:rsid w:val="00F9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B"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qFormat/>
    <w:rsid w:val="00F96A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Bodytext">
    <w:name w:val="Body text_"/>
    <w:basedOn w:val="DefaultParagraphFont"/>
    <w:link w:val="Bodytext0"/>
    <w:qFormat/>
    <w:rsid w:val="00F96A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shd w:val="clear" w:color="auto" w:fill="auto"/>
    </w:rPr>
  </w:style>
  <w:style w:type="paragraph" w:customStyle="1" w:styleId="Heading">
    <w:name w:val="Heading"/>
    <w:basedOn w:val="Normal"/>
    <w:next w:val="BodyText1"/>
    <w:qFormat/>
    <w:rsid w:val="00F96AE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1">
    <w:name w:val="Body Text"/>
    <w:basedOn w:val="Normal"/>
    <w:rsid w:val="00F96AEB"/>
    <w:pPr>
      <w:spacing w:after="140" w:line="276" w:lineRule="auto"/>
    </w:pPr>
  </w:style>
  <w:style w:type="paragraph" w:styleId="List">
    <w:name w:val="List"/>
    <w:basedOn w:val="BodyText1"/>
    <w:rsid w:val="00F96AEB"/>
    <w:rPr>
      <w:rFonts w:cs="Mangal"/>
    </w:rPr>
  </w:style>
  <w:style w:type="paragraph" w:styleId="Caption">
    <w:name w:val="caption"/>
    <w:basedOn w:val="Normal"/>
    <w:qFormat/>
    <w:rsid w:val="00F96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F96AEB"/>
    <w:pPr>
      <w:suppressLineNumbers/>
    </w:pPr>
    <w:rPr>
      <w:rFonts w:cs="Mangal"/>
    </w:rPr>
  </w:style>
  <w:style w:type="paragraph" w:customStyle="1" w:styleId="Bodytext20">
    <w:name w:val="Body text (2)"/>
    <w:basedOn w:val="Normal"/>
    <w:link w:val="Bodytext2"/>
    <w:qFormat/>
    <w:rsid w:val="00F96AEB"/>
    <w:pPr>
      <w:spacing w:after="60" w:line="30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0">
    <w:name w:val="Body text"/>
    <w:basedOn w:val="Normal"/>
    <w:link w:val="Bodytext"/>
    <w:qFormat/>
    <w:rsid w:val="00F96AEB"/>
    <w:pPr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FrameContents">
    <w:name w:val="Frame Contents"/>
    <w:basedOn w:val="Normal"/>
    <w:qFormat/>
    <w:rsid w:val="00F96A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2023-08-14T06:18:00Z</dcterms:created>
  <dcterms:modified xsi:type="dcterms:W3CDTF">2023-08-14T06:18:00Z</dcterms:modified>
  <dc:language>bg-BG</dc:language>
</cp:coreProperties>
</file>